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64DC" w14:textId="77777777" w:rsidR="00667505" w:rsidRPr="00667505" w:rsidRDefault="00667505" w:rsidP="00667505">
      <w:pPr>
        <w:pBdr>
          <w:bottom w:val="single" w:sz="6" w:space="7" w:color="CC0000"/>
        </w:pBdr>
        <w:shd w:val="clear" w:color="auto" w:fill="FFFFFF"/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</w:rPr>
      </w:pPr>
      <w:r w:rsidRPr="00667505"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</w:rPr>
        <w:t>Committee Bylaws</w:t>
      </w:r>
    </w:p>
    <w:p w14:paraId="280E8E1F" w14:textId="012E438F" w:rsidR="006C4C5B" w:rsidRDefault="004B4486" w:rsidP="006C4C5B">
      <w:pPr>
        <w:pStyle w:val="NoSpacing"/>
        <w:rPr>
          <w:rFonts w:ascii="Helvetica" w:hAnsi="Helvetica" w:cs="Helvetica"/>
          <w:shd w:val="clear" w:color="auto" w:fill="FFFFFF"/>
        </w:rPr>
      </w:pPr>
      <w:r w:rsidRPr="004B4486">
        <w:rPr>
          <w:rFonts w:ascii="Helvetica" w:hAnsi="Helvetica" w:cs="Helvetica"/>
          <w:shd w:val="clear" w:color="auto" w:fill="FFFFFF"/>
        </w:rPr>
        <w:t xml:space="preserve">In accordance with Article X, Section C.2 of the </w:t>
      </w:r>
      <w:r w:rsidRPr="003F5968">
        <w:rPr>
          <w:rFonts w:ascii="Helvetica" w:hAnsi="Helvetica" w:cs="Helvetica"/>
          <w:color w:val="FF0000"/>
          <w:shd w:val="clear" w:color="auto" w:fill="FFFFFF"/>
        </w:rPr>
        <w:t>PLFSOM Faculty Bylaws</w:t>
      </w:r>
      <w:r w:rsidRPr="004B4486">
        <w:rPr>
          <w:rFonts w:ascii="Helvetica" w:hAnsi="Helvetica" w:cs="Helvetica"/>
          <w:shd w:val="clear" w:color="auto" w:fill="FFFFFF"/>
        </w:rPr>
        <w:t>, the primary faculty committee responsible for the curriculum is the Committee on Curriculum and Educational Policy (CEPC).</w:t>
      </w:r>
    </w:p>
    <w:p w14:paraId="66E27BF2" w14:textId="77777777" w:rsidR="004B4486" w:rsidRDefault="004B4486" w:rsidP="006C4C5B">
      <w:pPr>
        <w:pStyle w:val="NoSpacing"/>
        <w:rPr>
          <w:rFonts w:ascii="Helvetica" w:eastAsia="Times New Roman" w:hAnsi="Helvetica" w:cs="Helvetica"/>
          <w:b/>
          <w:bCs/>
        </w:rPr>
      </w:pPr>
    </w:p>
    <w:p w14:paraId="407D92DF" w14:textId="6C0F7529" w:rsidR="00667505" w:rsidRPr="006C4C5B" w:rsidRDefault="00667505" w:rsidP="006C4C5B">
      <w:pPr>
        <w:pStyle w:val="NoSpacing"/>
        <w:rPr>
          <w:rFonts w:ascii="Helvetica" w:eastAsia="Times New Roman" w:hAnsi="Helvetica" w:cs="Helvetica"/>
          <w:b/>
          <w:bCs/>
        </w:rPr>
      </w:pPr>
      <w:r w:rsidRPr="006C4C5B">
        <w:rPr>
          <w:rFonts w:ascii="Helvetica" w:eastAsia="Times New Roman" w:hAnsi="Helvetica" w:cs="Helvetica"/>
          <w:b/>
          <w:bCs/>
        </w:rPr>
        <w:t>Faculty Bylaws Article X, Section C.2</w:t>
      </w:r>
    </w:p>
    <w:p w14:paraId="093BFCEF" w14:textId="75961C11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3F5968">
        <w:rPr>
          <w:rFonts w:ascii="Helvetica" w:hAnsi="Helvetica" w:cs="Helvetica"/>
          <w:b/>
          <w:bCs/>
        </w:rPr>
        <w:t>a. Membership:</w:t>
      </w:r>
      <w:r w:rsidRPr="006C4C5B">
        <w:rPr>
          <w:rFonts w:ascii="Helvetica" w:hAnsi="Helvetica" w:cs="Helvetica"/>
        </w:rPr>
        <w:t xml:space="preserve"> The Curriculum and Educational Policy Committee (CEPC) is composed of 15 voting members (eleven (11) faculty and four (4) students) and 10 non-voting advisory members (six (6) faculty/staff and four (4) students.</w:t>
      </w:r>
    </w:p>
    <w:p w14:paraId="1ABFBAEE" w14:textId="77777777" w:rsidR="00667505" w:rsidRPr="006C4C5B" w:rsidRDefault="00667505" w:rsidP="006C4C5B">
      <w:pPr>
        <w:pStyle w:val="NoSpacing"/>
        <w:rPr>
          <w:rFonts w:ascii="Helvetica" w:hAnsi="Helvetica" w:cs="Helvetica"/>
        </w:rPr>
      </w:pPr>
    </w:p>
    <w:p w14:paraId="5D631E9C" w14:textId="77777777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The following are voting members of the CEPC:</w:t>
      </w:r>
    </w:p>
    <w:p w14:paraId="668C504A" w14:textId="77777777" w:rsidR="00667505" w:rsidRPr="006C4C5B" w:rsidRDefault="00667505" w:rsidP="006C4C5B">
      <w:pPr>
        <w:pStyle w:val="NoSpacing"/>
        <w:numPr>
          <w:ilvl w:val="0"/>
          <w:numId w:val="5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Associate Dean for Medical Education (chair)</w:t>
      </w:r>
    </w:p>
    <w:p w14:paraId="77FBC700" w14:textId="77777777" w:rsidR="00667505" w:rsidRPr="006C4C5B" w:rsidRDefault="00667505" w:rsidP="006C4C5B">
      <w:pPr>
        <w:pStyle w:val="NoSpacing"/>
        <w:numPr>
          <w:ilvl w:val="0"/>
          <w:numId w:val="6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Two (2) College Mentors</w:t>
      </w:r>
    </w:p>
    <w:p w14:paraId="000D9B4B" w14:textId="77777777" w:rsidR="00667505" w:rsidRPr="006C4C5B" w:rsidRDefault="00667505" w:rsidP="006C4C5B">
      <w:pPr>
        <w:pStyle w:val="NoSpacing"/>
        <w:numPr>
          <w:ilvl w:val="0"/>
          <w:numId w:val="6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Four (4) Clinical Sciences Faculty</w:t>
      </w:r>
    </w:p>
    <w:p w14:paraId="1585D28F" w14:textId="77777777" w:rsidR="00667505" w:rsidRPr="006C4C5B" w:rsidRDefault="00667505" w:rsidP="006C4C5B">
      <w:pPr>
        <w:pStyle w:val="NoSpacing"/>
        <w:numPr>
          <w:ilvl w:val="0"/>
          <w:numId w:val="6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Four (4) Basic Sciences Faculty</w:t>
      </w:r>
    </w:p>
    <w:p w14:paraId="3F8CDA50" w14:textId="14CBE475" w:rsidR="00667505" w:rsidRPr="006C4C5B" w:rsidRDefault="00667505" w:rsidP="006C4C5B">
      <w:pPr>
        <w:pStyle w:val="NoSpacing"/>
        <w:numPr>
          <w:ilvl w:val="0"/>
          <w:numId w:val="6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Four (4) Student Curriculum and Evaluation Committee (SCEC) Representatives</w:t>
      </w:r>
    </w:p>
    <w:p w14:paraId="6D0809E8" w14:textId="68710C54" w:rsidR="00667505" w:rsidRPr="006C4C5B" w:rsidRDefault="00667505" w:rsidP="006C4C5B">
      <w:pPr>
        <w:pStyle w:val="NoSpacing"/>
        <w:rPr>
          <w:rFonts w:ascii="Helvetica" w:hAnsi="Helvetica" w:cs="Helvetica"/>
        </w:rPr>
      </w:pPr>
    </w:p>
    <w:p w14:paraId="3093FE59" w14:textId="77777777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 xml:space="preserve">The following are non-voting, ex-officio advisory members of the CEPC: </w:t>
      </w:r>
    </w:p>
    <w:p w14:paraId="4F08FDAA" w14:textId="77777777" w:rsidR="00667505" w:rsidRPr="006C4C5B" w:rsidRDefault="00667505" w:rsidP="00CD313D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Assistant Deans for Medical Education</w:t>
      </w:r>
    </w:p>
    <w:p w14:paraId="466A1689" w14:textId="77777777" w:rsidR="00667505" w:rsidRPr="006C4C5B" w:rsidRDefault="00667505" w:rsidP="00CD313D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Managing Director, TTUHSC-EP Medical Libraries</w:t>
      </w:r>
    </w:p>
    <w:p w14:paraId="561CF59C" w14:textId="77777777" w:rsidR="00667505" w:rsidRPr="006C4C5B" w:rsidRDefault="00667505" w:rsidP="00CD313D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Associate Vice President for Information Technology (or designee)</w:t>
      </w:r>
    </w:p>
    <w:p w14:paraId="26CA4C21" w14:textId="60EA667C" w:rsidR="00667505" w:rsidRDefault="00667505" w:rsidP="00CD313D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Associate Dean for Student Affairs</w:t>
      </w:r>
    </w:p>
    <w:p w14:paraId="15753BAF" w14:textId="4D7F724E" w:rsidR="00667505" w:rsidRPr="006C4C5B" w:rsidRDefault="00667505" w:rsidP="00CD313D">
      <w:pPr>
        <w:pStyle w:val="NoSpacing"/>
        <w:numPr>
          <w:ilvl w:val="0"/>
          <w:numId w:val="7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Four (4) Student Curriculum and Evaluation Committee (SCEC) Representatives</w:t>
      </w:r>
    </w:p>
    <w:p w14:paraId="19F3248E" w14:textId="77777777" w:rsidR="00667505" w:rsidRPr="006C4C5B" w:rsidRDefault="00667505" w:rsidP="006C4C5B">
      <w:pPr>
        <w:pStyle w:val="NoSpacing"/>
        <w:rPr>
          <w:rFonts w:ascii="Helvetica" w:hAnsi="Helvetica" w:cs="Helvetica"/>
        </w:rPr>
      </w:pPr>
    </w:p>
    <w:p w14:paraId="1B89F196" w14:textId="3FA78DAE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College Mentors basic sciences faculty, and clinical sciences faculty are appointed</w:t>
      </w:r>
    </w:p>
    <w:p w14:paraId="1605C5D6" w14:textId="41E6CD16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for four (4)-year terms.</w:t>
      </w:r>
    </w:p>
    <w:p w14:paraId="4E569683" w14:textId="77777777" w:rsidR="00667505" w:rsidRPr="006C4C5B" w:rsidRDefault="00667505" w:rsidP="006C4C5B">
      <w:pPr>
        <w:pStyle w:val="NoSpacing"/>
        <w:rPr>
          <w:rFonts w:ascii="Helvetica" w:hAnsi="Helvetica" w:cs="Helvetica"/>
        </w:rPr>
      </w:pPr>
    </w:p>
    <w:p w14:paraId="455B776A" w14:textId="5E35AA78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There shall be eight (8) student members of the CEPC (four (4) voting and four (4)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advisory) designated from and by the Student Curriculum and Evaluation subcommittee, with one (1)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voting and one (1) advisory member representing each of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the four (4) student cohorts (MS1-MS4). These student members are elected or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reaffirmed annually by each class.</w:t>
      </w:r>
    </w:p>
    <w:p w14:paraId="1C97F5C6" w14:textId="77777777" w:rsidR="006C4C5B" w:rsidRPr="006C4C5B" w:rsidRDefault="006C4C5B" w:rsidP="006C4C5B">
      <w:pPr>
        <w:pStyle w:val="NoSpacing"/>
        <w:rPr>
          <w:rFonts w:ascii="Helvetica" w:hAnsi="Helvetica" w:cs="Helvetica"/>
        </w:rPr>
      </w:pPr>
    </w:p>
    <w:p w14:paraId="7A7D4143" w14:textId="787EAD5E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3F5968">
        <w:rPr>
          <w:rFonts w:ascii="Helvetica" w:hAnsi="Helvetica" w:cs="Helvetica"/>
          <w:b/>
          <w:bCs/>
        </w:rPr>
        <w:t>b. Leadership</w:t>
      </w:r>
      <w:r w:rsidRPr="006C4C5B">
        <w:rPr>
          <w:rFonts w:ascii="Helvetica" w:hAnsi="Helvetica" w:cs="Helvetica"/>
        </w:rPr>
        <w:t>: This committee will report to the Faculty Council. The Associate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Dean for Medical Education shall serve as chair of this committee.</w:t>
      </w:r>
    </w:p>
    <w:p w14:paraId="342FA2E9" w14:textId="77777777" w:rsidR="006C4C5B" w:rsidRPr="006C4C5B" w:rsidRDefault="006C4C5B" w:rsidP="006C4C5B">
      <w:pPr>
        <w:pStyle w:val="NoSpacing"/>
        <w:rPr>
          <w:rFonts w:ascii="Helvetica" w:hAnsi="Helvetica" w:cs="Helvetica"/>
        </w:rPr>
      </w:pPr>
    </w:p>
    <w:p w14:paraId="57050F51" w14:textId="77777777" w:rsidR="00CD313D" w:rsidRDefault="00667505" w:rsidP="006C4C5B">
      <w:pPr>
        <w:pStyle w:val="NoSpacing"/>
        <w:rPr>
          <w:rFonts w:ascii="Helvetica" w:hAnsi="Helvetica" w:cs="Helvetica"/>
        </w:rPr>
      </w:pPr>
      <w:r w:rsidRPr="003F5968">
        <w:rPr>
          <w:rFonts w:ascii="Helvetica" w:hAnsi="Helvetica" w:cs="Helvetica"/>
          <w:b/>
          <w:bCs/>
        </w:rPr>
        <w:t>c. Charge:</w:t>
      </w:r>
      <w:r w:rsidRPr="006C4C5B">
        <w:rPr>
          <w:rFonts w:ascii="Helvetica" w:hAnsi="Helvetica" w:cs="Helvetica"/>
        </w:rPr>
        <w:t xml:space="preserve"> The CEPC is charged with the development, design, implementation,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management, monitoring, integration, review, evaluation, and revision of the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undergraduate medical education</w:t>
      </w:r>
    </w:p>
    <w:p w14:paraId="5931902F" w14:textId="685D3707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curriculum to ensure continuous quality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improvement.</w:t>
      </w:r>
    </w:p>
    <w:p w14:paraId="13D41542" w14:textId="77777777" w:rsidR="006C4C5B" w:rsidRPr="006C4C5B" w:rsidRDefault="006C4C5B" w:rsidP="006C4C5B">
      <w:pPr>
        <w:pStyle w:val="NoSpacing"/>
        <w:rPr>
          <w:rFonts w:ascii="Helvetica" w:hAnsi="Helvetica" w:cs="Helvetica"/>
        </w:rPr>
      </w:pPr>
    </w:p>
    <w:p w14:paraId="5D754300" w14:textId="77777777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The committee’s responsibilities are to:</w:t>
      </w:r>
    </w:p>
    <w:p w14:paraId="46ED737E" w14:textId="77777777" w:rsidR="006C4C5B" w:rsidRPr="006C4C5B" w:rsidRDefault="00667505" w:rsidP="00CD313D">
      <w:pPr>
        <w:pStyle w:val="NoSpacing"/>
        <w:numPr>
          <w:ilvl w:val="0"/>
          <w:numId w:val="8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establish, review and approve the PLFSOM education program goals and</w:t>
      </w:r>
      <w:r w:rsidR="006C4C5B" w:rsidRPr="006C4C5B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objectives (PGOs);</w:t>
      </w:r>
    </w:p>
    <w:p w14:paraId="64189E2C" w14:textId="77777777" w:rsidR="006C4C5B" w:rsidRPr="006C4C5B" w:rsidRDefault="00667505" w:rsidP="00CD313D">
      <w:pPr>
        <w:pStyle w:val="NoSpacing"/>
        <w:numPr>
          <w:ilvl w:val="0"/>
          <w:numId w:val="8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design, manage, and evaluate the undergraduate medical education</w:t>
      </w:r>
      <w:r w:rsidR="006C4C5B" w:rsidRPr="006C4C5B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program to ensure the PGOs are met in accordance with the mission and</w:t>
      </w:r>
      <w:r w:rsidR="006C4C5B" w:rsidRPr="006C4C5B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vision of PLFSOM;</w:t>
      </w:r>
    </w:p>
    <w:p w14:paraId="230228FD" w14:textId="77777777" w:rsidR="006C4C5B" w:rsidRPr="006C4C5B" w:rsidRDefault="00667505" w:rsidP="00CD313D">
      <w:pPr>
        <w:pStyle w:val="NoSpacing"/>
        <w:numPr>
          <w:ilvl w:val="0"/>
          <w:numId w:val="8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establish performance standards and criteria for student evaluations of</w:t>
      </w:r>
      <w:r w:rsidR="006C4C5B" w:rsidRPr="006C4C5B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faculty teaching;</w:t>
      </w:r>
    </w:p>
    <w:p w14:paraId="7119C87A" w14:textId="77777777" w:rsidR="006C4C5B" w:rsidRPr="006C4C5B" w:rsidRDefault="00667505" w:rsidP="00CD313D">
      <w:pPr>
        <w:pStyle w:val="NoSpacing"/>
        <w:numPr>
          <w:ilvl w:val="0"/>
          <w:numId w:val="8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establish performance standards required for student promotion and</w:t>
      </w:r>
      <w:r w:rsidR="006C4C5B" w:rsidRPr="006C4C5B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graduation;</w:t>
      </w:r>
    </w:p>
    <w:p w14:paraId="42924E8A" w14:textId="48734755" w:rsidR="00667505" w:rsidRPr="006C4C5B" w:rsidRDefault="00667505" w:rsidP="00CD313D">
      <w:pPr>
        <w:pStyle w:val="NoSpacing"/>
        <w:numPr>
          <w:ilvl w:val="0"/>
          <w:numId w:val="8"/>
        </w:numPr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advise the Dean on resources required to support the curriculum</w:t>
      </w:r>
    </w:p>
    <w:p w14:paraId="28FFCBD3" w14:textId="77777777" w:rsidR="006C4C5B" w:rsidRPr="006C4C5B" w:rsidRDefault="006C4C5B" w:rsidP="006C4C5B">
      <w:pPr>
        <w:pStyle w:val="NoSpacing"/>
        <w:rPr>
          <w:rFonts w:ascii="Helvetica" w:hAnsi="Helvetica" w:cs="Helvetica"/>
        </w:rPr>
      </w:pPr>
    </w:p>
    <w:p w14:paraId="53F2E6E1" w14:textId="547FBF4F" w:rsidR="00667505" w:rsidRPr="006C4C5B" w:rsidRDefault="00667505" w:rsidP="006C4C5B">
      <w:pPr>
        <w:pStyle w:val="NoSpacing"/>
        <w:rPr>
          <w:rFonts w:ascii="Helvetica" w:hAnsi="Helvetica" w:cs="Helvetica"/>
        </w:rPr>
      </w:pPr>
      <w:r w:rsidRPr="006C4C5B">
        <w:rPr>
          <w:rFonts w:ascii="Helvetica" w:hAnsi="Helvetica" w:cs="Helvetica"/>
        </w:rPr>
        <w:t>The CEPC has the authority to set educational policy; establish education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requirements; establish and approve curricular content; ensure curricular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integration, coordination and coherence; allocate curriculum time; establish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teaching and assessment methods; and evaluate educational outcomes or the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organization of the curriculum with the concurrence of the Dean and with comment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and input from the Faculty Council. The Faculty of the Paul L. Foster School of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Medicine has the responsibility to define course objectives, create and deliver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content to meet those objectives, and modify their activities in response to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appropriate feedback from peers and students. The Committee will provide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updates on its activities at least twice a year to the Faculty Council. In order to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accomplish the mission of the Committee, the Chair may appoint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subcommittees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that can include members who are not members of the Committee. It shall be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the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responsibility of the Committee to coordinate the activities and reports of these</w:t>
      </w:r>
      <w:r w:rsidR="00CD313D">
        <w:rPr>
          <w:rFonts w:ascii="Helvetica" w:hAnsi="Helvetica" w:cs="Helvetica"/>
        </w:rPr>
        <w:t xml:space="preserve"> </w:t>
      </w:r>
      <w:r w:rsidRPr="006C4C5B">
        <w:rPr>
          <w:rFonts w:ascii="Helvetica" w:hAnsi="Helvetica" w:cs="Helvetica"/>
        </w:rPr>
        <w:t>subcommittees</w:t>
      </w:r>
      <w:r w:rsidR="00CD313D">
        <w:rPr>
          <w:rFonts w:ascii="Helvetica" w:hAnsi="Helvetica" w:cs="Helvetica"/>
        </w:rPr>
        <w:t>.</w:t>
      </w:r>
    </w:p>
    <w:sectPr w:rsidR="00667505" w:rsidRPr="006C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A3C"/>
    <w:multiLevelType w:val="hybridMultilevel"/>
    <w:tmpl w:val="BCC45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DD8"/>
    <w:multiLevelType w:val="hybridMultilevel"/>
    <w:tmpl w:val="E33AB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2DBD"/>
    <w:multiLevelType w:val="hybridMultilevel"/>
    <w:tmpl w:val="E1A03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49F2"/>
    <w:multiLevelType w:val="hybridMultilevel"/>
    <w:tmpl w:val="3FB8E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4816"/>
    <w:multiLevelType w:val="hybridMultilevel"/>
    <w:tmpl w:val="6ACC8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5007"/>
    <w:multiLevelType w:val="hybridMultilevel"/>
    <w:tmpl w:val="E57AF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1180D"/>
    <w:multiLevelType w:val="hybridMultilevel"/>
    <w:tmpl w:val="B1C0B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57E1"/>
    <w:multiLevelType w:val="hybridMultilevel"/>
    <w:tmpl w:val="145ED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05"/>
    <w:rsid w:val="0024647C"/>
    <w:rsid w:val="003F5968"/>
    <w:rsid w:val="004B4486"/>
    <w:rsid w:val="00667505"/>
    <w:rsid w:val="006C4C5B"/>
    <w:rsid w:val="007F1283"/>
    <w:rsid w:val="00A05E8F"/>
    <w:rsid w:val="00B81BF8"/>
    <w:rsid w:val="00CD313D"/>
    <w:rsid w:val="00DF730A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BA66"/>
  <w15:chartTrackingRefBased/>
  <w15:docId w15:val="{22DF0C9C-4516-49A8-872C-1B15C9B9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7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50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75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667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Committee Bylaws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 Babic</dc:creator>
  <cp:keywords/>
  <dc:description/>
  <cp:lastModifiedBy>Pretzer, Sophie</cp:lastModifiedBy>
  <cp:revision>2</cp:revision>
  <dcterms:created xsi:type="dcterms:W3CDTF">2025-05-22T16:28:00Z</dcterms:created>
  <dcterms:modified xsi:type="dcterms:W3CDTF">2025-05-22T16:28:00Z</dcterms:modified>
</cp:coreProperties>
</file>